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8AC9" w14:textId="7E4876CE" w:rsidR="00095543" w:rsidRDefault="00095543" w:rsidP="00257B98">
      <w:pPr>
        <w:pStyle w:val="NoSpacing"/>
        <w:rPr>
          <w:sz w:val="20"/>
          <w:szCs w:val="18"/>
        </w:rPr>
      </w:pPr>
      <w:r>
        <w:rPr>
          <w:sz w:val="20"/>
          <w:szCs w:val="18"/>
        </w:rPr>
        <w:t>[NAME]</w:t>
      </w:r>
    </w:p>
    <w:p w14:paraId="03A5B77B" w14:textId="1B75142D" w:rsidR="00095543" w:rsidRDefault="00095543" w:rsidP="00257B98">
      <w:pPr>
        <w:pStyle w:val="NoSpacing"/>
        <w:rPr>
          <w:sz w:val="20"/>
          <w:szCs w:val="18"/>
        </w:rPr>
      </w:pPr>
      <w:r>
        <w:rPr>
          <w:sz w:val="20"/>
          <w:szCs w:val="18"/>
        </w:rPr>
        <w:t>[ORGANIZATION/FIRM]</w:t>
      </w:r>
    </w:p>
    <w:p w14:paraId="62BC6D9A" w14:textId="58A1CD3C" w:rsidR="00095543" w:rsidRDefault="00095543" w:rsidP="00257B98">
      <w:pPr>
        <w:pStyle w:val="NoSpacing"/>
        <w:rPr>
          <w:sz w:val="20"/>
          <w:szCs w:val="18"/>
        </w:rPr>
      </w:pPr>
      <w:r>
        <w:rPr>
          <w:sz w:val="20"/>
          <w:szCs w:val="18"/>
        </w:rPr>
        <w:t>[ADDRESS]</w:t>
      </w:r>
    </w:p>
    <w:p w14:paraId="1A821714" w14:textId="3EEF7D5B" w:rsidR="00095543" w:rsidRDefault="00095543" w:rsidP="00257B98">
      <w:pPr>
        <w:pStyle w:val="NoSpacing"/>
        <w:rPr>
          <w:sz w:val="20"/>
          <w:szCs w:val="18"/>
        </w:rPr>
      </w:pPr>
      <w:r>
        <w:rPr>
          <w:sz w:val="20"/>
          <w:szCs w:val="18"/>
        </w:rPr>
        <w:t>[STATE, ZIP]</w:t>
      </w:r>
    </w:p>
    <w:p w14:paraId="4C16D947" w14:textId="77777777" w:rsidR="00095543" w:rsidRDefault="00095543" w:rsidP="00257B98">
      <w:pPr>
        <w:pStyle w:val="NoSpacing"/>
        <w:rPr>
          <w:sz w:val="20"/>
          <w:szCs w:val="18"/>
        </w:rPr>
      </w:pPr>
    </w:p>
    <w:p w14:paraId="276EDA2D" w14:textId="0BBC2652" w:rsidR="00257B98" w:rsidRPr="0060204E" w:rsidRDefault="00257B98" w:rsidP="00257B98">
      <w:pPr>
        <w:pStyle w:val="NoSpacing"/>
        <w:rPr>
          <w:sz w:val="20"/>
          <w:szCs w:val="18"/>
        </w:rPr>
      </w:pPr>
      <w:r>
        <w:rPr>
          <w:sz w:val="20"/>
          <w:szCs w:val="18"/>
        </w:rPr>
        <w:t xml:space="preserve">June </w:t>
      </w:r>
      <w:r>
        <w:rPr>
          <w:sz w:val="20"/>
          <w:szCs w:val="18"/>
        </w:rPr>
        <w:t>X</w:t>
      </w:r>
      <w:r>
        <w:rPr>
          <w:sz w:val="20"/>
          <w:szCs w:val="18"/>
        </w:rPr>
        <w:t>, 2026</w:t>
      </w:r>
    </w:p>
    <w:p w14:paraId="62B4C05F" w14:textId="77777777" w:rsidR="00257B98" w:rsidRPr="0060204E" w:rsidRDefault="00257B98" w:rsidP="00257B98">
      <w:pPr>
        <w:pStyle w:val="NoSpacing"/>
        <w:rPr>
          <w:sz w:val="20"/>
          <w:szCs w:val="18"/>
        </w:rPr>
      </w:pPr>
    </w:p>
    <w:p w14:paraId="4B44D60D" w14:textId="269D6609" w:rsidR="00257B98" w:rsidRPr="00AC7477" w:rsidRDefault="00257B98" w:rsidP="00257B98">
      <w:pPr>
        <w:pStyle w:val="NoSpacing"/>
        <w:rPr>
          <w:b/>
          <w:bCs/>
          <w:sz w:val="20"/>
          <w:szCs w:val="18"/>
        </w:rPr>
      </w:pPr>
      <w:r w:rsidRPr="0060204E">
        <w:rPr>
          <w:sz w:val="20"/>
          <w:szCs w:val="18"/>
        </w:rPr>
        <w:t xml:space="preserve">The Honorable </w:t>
      </w:r>
      <w:r w:rsidR="00095543">
        <w:rPr>
          <w:sz w:val="20"/>
          <w:szCs w:val="18"/>
        </w:rPr>
        <w:t>[SENATOR NAME]</w:t>
      </w:r>
    </w:p>
    <w:p w14:paraId="2AD48CE3" w14:textId="7B018F39" w:rsidR="00257B98" w:rsidRPr="0060204E" w:rsidRDefault="00095543" w:rsidP="00257B98">
      <w:pPr>
        <w:pStyle w:val="NoSpacing"/>
        <w:rPr>
          <w:sz w:val="20"/>
          <w:szCs w:val="18"/>
        </w:rPr>
      </w:pPr>
      <w:r>
        <w:rPr>
          <w:sz w:val="20"/>
          <w:szCs w:val="18"/>
        </w:rPr>
        <w:t>Senator, [DISTRICT NUMBER]</w:t>
      </w:r>
    </w:p>
    <w:p w14:paraId="372DA3FA" w14:textId="77777777" w:rsidR="00257B98" w:rsidRPr="0060204E" w:rsidRDefault="00257B98" w:rsidP="00257B98">
      <w:pPr>
        <w:pStyle w:val="NoSpacing"/>
        <w:rPr>
          <w:sz w:val="20"/>
          <w:szCs w:val="18"/>
        </w:rPr>
      </w:pPr>
      <w:r w:rsidRPr="0060204E">
        <w:rPr>
          <w:sz w:val="20"/>
          <w:szCs w:val="18"/>
        </w:rPr>
        <w:t>California State Capitol</w:t>
      </w:r>
    </w:p>
    <w:p w14:paraId="6CF87A8B" w14:textId="77777777" w:rsidR="00257B98" w:rsidRPr="0060204E" w:rsidRDefault="00257B98" w:rsidP="00257B98">
      <w:pPr>
        <w:pStyle w:val="NoSpacing"/>
        <w:rPr>
          <w:sz w:val="20"/>
          <w:szCs w:val="18"/>
        </w:rPr>
      </w:pPr>
      <w:r w:rsidRPr="0060204E">
        <w:rPr>
          <w:sz w:val="20"/>
          <w:szCs w:val="18"/>
        </w:rPr>
        <w:t>Sacramento, CA 95814</w:t>
      </w:r>
    </w:p>
    <w:p w14:paraId="138226B4" w14:textId="77777777" w:rsidR="00257B98" w:rsidRPr="0060204E" w:rsidRDefault="00257B98" w:rsidP="00257B98">
      <w:pPr>
        <w:pStyle w:val="NoSpacing"/>
        <w:rPr>
          <w:sz w:val="20"/>
          <w:szCs w:val="18"/>
        </w:rPr>
      </w:pPr>
    </w:p>
    <w:p w14:paraId="031372C7" w14:textId="396CF5FC" w:rsidR="00257B98" w:rsidRDefault="00257B98" w:rsidP="00257B98">
      <w:pPr>
        <w:rPr>
          <w:b/>
          <w:bCs/>
          <w:sz w:val="20"/>
          <w:szCs w:val="18"/>
        </w:rPr>
      </w:pPr>
      <w:r w:rsidRPr="00AC7477">
        <w:rPr>
          <w:b/>
          <w:bCs/>
          <w:sz w:val="20"/>
          <w:szCs w:val="18"/>
        </w:rPr>
        <w:t xml:space="preserve">Regarding: AB 306 (Shultz, Hadwick, Wicks) </w:t>
      </w:r>
      <w:proofErr w:type="gramStart"/>
      <w:r w:rsidRPr="00AC7477">
        <w:rPr>
          <w:b/>
          <w:bCs/>
          <w:sz w:val="20"/>
          <w:szCs w:val="18"/>
        </w:rPr>
        <w:t>-  S</w:t>
      </w:r>
      <w:r w:rsidR="00EF3E6E">
        <w:rPr>
          <w:b/>
          <w:bCs/>
          <w:sz w:val="20"/>
          <w:szCs w:val="18"/>
        </w:rPr>
        <w:t>upport</w:t>
      </w:r>
      <w:proofErr w:type="gramEnd"/>
    </w:p>
    <w:p w14:paraId="1C26F64A" w14:textId="77777777" w:rsidR="00257B98" w:rsidRPr="00AC7477" w:rsidRDefault="00257B98" w:rsidP="00257B98">
      <w:pPr>
        <w:rPr>
          <w:b/>
          <w:bCs/>
          <w:sz w:val="20"/>
          <w:szCs w:val="18"/>
        </w:rPr>
      </w:pPr>
    </w:p>
    <w:p w14:paraId="1DC33EFE" w14:textId="453AB4BC" w:rsidR="00257B98" w:rsidRPr="00AC7477" w:rsidRDefault="00257B98" w:rsidP="00257B98">
      <w:pPr>
        <w:rPr>
          <w:b/>
          <w:bCs/>
          <w:sz w:val="20"/>
          <w:szCs w:val="18"/>
        </w:rPr>
      </w:pPr>
      <w:r w:rsidRPr="00AC7477">
        <w:rPr>
          <w:sz w:val="20"/>
          <w:szCs w:val="18"/>
        </w:rPr>
        <w:t>Dear</w:t>
      </w:r>
      <w:r>
        <w:rPr>
          <w:sz w:val="20"/>
          <w:szCs w:val="18"/>
        </w:rPr>
        <w:t xml:space="preserve"> </w:t>
      </w:r>
      <w:r w:rsidR="00095543">
        <w:rPr>
          <w:sz w:val="20"/>
          <w:szCs w:val="18"/>
        </w:rPr>
        <w:t>Senator [SENATOR NAME]</w:t>
      </w:r>
      <w:r w:rsidRPr="00AC7477">
        <w:rPr>
          <w:sz w:val="20"/>
          <w:szCs w:val="18"/>
        </w:rPr>
        <w:t>:</w:t>
      </w:r>
    </w:p>
    <w:p w14:paraId="6654530A" w14:textId="77777777" w:rsidR="00257B98" w:rsidRPr="00AC7477" w:rsidRDefault="00257B98" w:rsidP="00257B98">
      <w:pPr>
        <w:rPr>
          <w:sz w:val="20"/>
          <w:szCs w:val="18"/>
        </w:rPr>
      </w:pPr>
    </w:p>
    <w:p w14:paraId="4C028C63" w14:textId="77777777" w:rsidR="00257B98" w:rsidRDefault="00257B98" w:rsidP="00257B98">
      <w:pPr>
        <w:rPr>
          <w:sz w:val="20"/>
          <w:szCs w:val="18"/>
        </w:rPr>
      </w:pPr>
      <w:r w:rsidRPr="00CB474F">
        <w:rPr>
          <w:sz w:val="20"/>
          <w:szCs w:val="18"/>
        </w:rPr>
        <w:t xml:space="preserve">On behalf of [ORGANIZATION], we are pleased to support AB 306, which addresses a longstanding challenge within California’s building code framework: the lack of a practical and effective statewide appeals </w:t>
      </w:r>
      <w:proofErr w:type="gramStart"/>
      <w:r w:rsidRPr="00CB474F">
        <w:rPr>
          <w:sz w:val="20"/>
          <w:szCs w:val="18"/>
        </w:rPr>
        <w:t>process</w:t>
      </w:r>
      <w:proofErr w:type="gramEnd"/>
      <w:r w:rsidRPr="00CB474F">
        <w:rPr>
          <w:sz w:val="20"/>
          <w:szCs w:val="18"/>
        </w:rPr>
        <w:t xml:space="preserve"> to resolve code-related issues of broad significance.</w:t>
      </w:r>
    </w:p>
    <w:p w14:paraId="18D07F12" w14:textId="77777777" w:rsidR="00257B98" w:rsidRPr="00CB474F" w:rsidRDefault="00257B98" w:rsidP="00257B98">
      <w:pPr>
        <w:rPr>
          <w:sz w:val="20"/>
          <w:szCs w:val="18"/>
        </w:rPr>
      </w:pPr>
    </w:p>
    <w:p w14:paraId="11A7857F" w14:textId="77777777" w:rsidR="00257B98" w:rsidRDefault="00257B98" w:rsidP="00257B98">
      <w:pPr>
        <w:rPr>
          <w:sz w:val="20"/>
          <w:szCs w:val="18"/>
        </w:rPr>
      </w:pPr>
      <w:r w:rsidRPr="00CB474F">
        <w:rPr>
          <w:sz w:val="20"/>
          <w:szCs w:val="18"/>
        </w:rPr>
        <w:t>California’s 540 local jurisdictions independently interpret and amend state building standards, often resulting in inconsistent application of the code, avoidable delays, and increased project costs. In practice, a design solution approved in one jurisdiction may be rejected in another, creating uncertainty for project teams, discouraging innovation, and making it more difficult to deliver housing and other critical projects efficiently across the state.</w:t>
      </w:r>
    </w:p>
    <w:p w14:paraId="62B91634" w14:textId="77777777" w:rsidR="00257B98" w:rsidRPr="00CB474F" w:rsidRDefault="00257B98" w:rsidP="00257B98">
      <w:pPr>
        <w:rPr>
          <w:sz w:val="20"/>
          <w:szCs w:val="18"/>
        </w:rPr>
      </w:pPr>
    </w:p>
    <w:p w14:paraId="7195A427" w14:textId="77777777" w:rsidR="00257B98" w:rsidRDefault="00257B98" w:rsidP="00257B98">
      <w:pPr>
        <w:rPr>
          <w:sz w:val="20"/>
          <w:szCs w:val="18"/>
        </w:rPr>
      </w:pPr>
      <w:r w:rsidRPr="00CB474F">
        <w:rPr>
          <w:sz w:val="20"/>
          <w:szCs w:val="18"/>
        </w:rPr>
        <w:t>AB 306 establishes a more workable process for resolving building code issues that have statewide implications while preserving local authority over matters that are appropriately addressed at the local level. Specifically, the bill:</w:t>
      </w:r>
    </w:p>
    <w:p w14:paraId="14C74F27" w14:textId="77777777" w:rsidR="00257B98" w:rsidRPr="00CB474F" w:rsidRDefault="00257B98" w:rsidP="00257B98">
      <w:pPr>
        <w:rPr>
          <w:sz w:val="20"/>
          <w:szCs w:val="18"/>
        </w:rPr>
      </w:pPr>
    </w:p>
    <w:p w14:paraId="7551737E" w14:textId="77777777" w:rsidR="00257B98" w:rsidRDefault="00257B98" w:rsidP="00257B98">
      <w:pPr>
        <w:pStyle w:val="ListParagraph"/>
        <w:numPr>
          <w:ilvl w:val="0"/>
          <w:numId w:val="3"/>
        </w:numPr>
        <w:rPr>
          <w:sz w:val="20"/>
          <w:szCs w:val="18"/>
        </w:rPr>
      </w:pPr>
      <w:r w:rsidRPr="00257B98">
        <w:rPr>
          <w:sz w:val="20"/>
          <w:szCs w:val="18"/>
        </w:rPr>
        <w:t>Allows appeals on matters of statewide significance without requiring exhaustion of local appeals first;</w:t>
      </w:r>
    </w:p>
    <w:p w14:paraId="0190FFA3" w14:textId="77777777" w:rsidR="00257B98" w:rsidRDefault="00257B98" w:rsidP="00257B98">
      <w:pPr>
        <w:pStyle w:val="ListParagraph"/>
        <w:numPr>
          <w:ilvl w:val="0"/>
          <w:numId w:val="3"/>
        </w:numPr>
        <w:rPr>
          <w:sz w:val="20"/>
          <w:szCs w:val="18"/>
        </w:rPr>
      </w:pPr>
      <w:r w:rsidRPr="00257B98">
        <w:rPr>
          <w:sz w:val="20"/>
          <w:szCs w:val="18"/>
        </w:rPr>
        <w:t>Allows appeals of code interpretations and local code amendments;</w:t>
      </w:r>
    </w:p>
    <w:p w14:paraId="4EDAD130" w14:textId="77777777" w:rsidR="00257B98" w:rsidRDefault="00257B98" w:rsidP="00257B98">
      <w:pPr>
        <w:pStyle w:val="ListParagraph"/>
        <w:numPr>
          <w:ilvl w:val="0"/>
          <w:numId w:val="3"/>
        </w:numPr>
        <w:rPr>
          <w:sz w:val="20"/>
          <w:szCs w:val="18"/>
        </w:rPr>
      </w:pPr>
      <w:proofErr w:type="gramStart"/>
      <w:r w:rsidRPr="00257B98">
        <w:rPr>
          <w:sz w:val="20"/>
          <w:szCs w:val="18"/>
        </w:rPr>
        <w:t>Provides for</w:t>
      </w:r>
      <w:proofErr w:type="gramEnd"/>
      <w:r w:rsidRPr="00257B98">
        <w:rPr>
          <w:sz w:val="20"/>
          <w:szCs w:val="18"/>
        </w:rPr>
        <w:t xml:space="preserve"> state-level code equivalency determinations;</w:t>
      </w:r>
    </w:p>
    <w:p w14:paraId="4B8F6607" w14:textId="77777777" w:rsidR="00257B98" w:rsidRDefault="00257B98" w:rsidP="00257B98">
      <w:pPr>
        <w:pStyle w:val="ListParagraph"/>
        <w:numPr>
          <w:ilvl w:val="0"/>
          <w:numId w:val="3"/>
        </w:numPr>
        <w:rPr>
          <w:sz w:val="20"/>
          <w:szCs w:val="18"/>
        </w:rPr>
      </w:pPr>
      <w:r w:rsidRPr="00257B98">
        <w:rPr>
          <w:sz w:val="20"/>
          <w:szCs w:val="18"/>
        </w:rPr>
        <w:t>Preserves local appeals for issues that do not rise to the level of statewide significance;</w:t>
      </w:r>
    </w:p>
    <w:p w14:paraId="4B92F8A8" w14:textId="77777777" w:rsidR="00257B98" w:rsidRDefault="00257B98" w:rsidP="00257B98">
      <w:pPr>
        <w:pStyle w:val="ListParagraph"/>
        <w:numPr>
          <w:ilvl w:val="0"/>
          <w:numId w:val="3"/>
        </w:numPr>
        <w:rPr>
          <w:sz w:val="20"/>
          <w:szCs w:val="18"/>
        </w:rPr>
      </w:pPr>
      <w:r w:rsidRPr="00257B98">
        <w:rPr>
          <w:sz w:val="20"/>
          <w:szCs w:val="18"/>
        </w:rPr>
        <w:t>Utilizes existing Office of Administrative Hearings procedures where appropriate; and</w:t>
      </w:r>
    </w:p>
    <w:p w14:paraId="3D343CB2" w14:textId="6E7CFA15" w:rsidR="00257B98" w:rsidRPr="00257B98" w:rsidRDefault="00257B98" w:rsidP="00257B98">
      <w:pPr>
        <w:pStyle w:val="ListParagraph"/>
        <w:numPr>
          <w:ilvl w:val="0"/>
          <w:numId w:val="3"/>
        </w:numPr>
        <w:rPr>
          <w:sz w:val="20"/>
          <w:szCs w:val="18"/>
        </w:rPr>
      </w:pPr>
      <w:r w:rsidRPr="00257B98">
        <w:rPr>
          <w:sz w:val="20"/>
          <w:szCs w:val="18"/>
        </w:rPr>
        <w:t>Promotes a more transparent, efficient, and consistent process for resolving issues affecting project delivery throughout California.</w:t>
      </w:r>
    </w:p>
    <w:p w14:paraId="180954FA" w14:textId="77777777" w:rsidR="00257B98" w:rsidRPr="00CB474F" w:rsidRDefault="00257B98" w:rsidP="00257B98">
      <w:pPr>
        <w:rPr>
          <w:sz w:val="20"/>
          <w:szCs w:val="18"/>
        </w:rPr>
      </w:pPr>
    </w:p>
    <w:p w14:paraId="390DCC45" w14:textId="77777777" w:rsidR="00257B98" w:rsidRDefault="00257B98" w:rsidP="00257B98">
      <w:pPr>
        <w:rPr>
          <w:sz w:val="20"/>
          <w:szCs w:val="18"/>
        </w:rPr>
      </w:pPr>
      <w:r w:rsidRPr="00CB474F">
        <w:rPr>
          <w:sz w:val="20"/>
          <w:szCs w:val="18"/>
        </w:rPr>
        <w:t>These reforms would help reduce unnecessary barriers to housing and economic development, improve consistency in code application, encourage innovation, and support more predictable project delivery statewide.</w:t>
      </w:r>
    </w:p>
    <w:p w14:paraId="6162378D" w14:textId="77777777" w:rsidR="00257B98" w:rsidRPr="00CB474F" w:rsidRDefault="00257B98" w:rsidP="00257B98">
      <w:pPr>
        <w:rPr>
          <w:sz w:val="20"/>
          <w:szCs w:val="18"/>
        </w:rPr>
      </w:pPr>
    </w:p>
    <w:p w14:paraId="0FF9F6D0" w14:textId="77777777" w:rsidR="00257B98" w:rsidRDefault="00257B98" w:rsidP="00257B98">
      <w:pPr>
        <w:rPr>
          <w:sz w:val="20"/>
          <w:szCs w:val="18"/>
        </w:rPr>
      </w:pPr>
      <w:r w:rsidRPr="00CB474F">
        <w:rPr>
          <w:b/>
          <w:bCs/>
          <w:sz w:val="20"/>
          <w:szCs w:val="18"/>
        </w:rPr>
        <w:t>[ORGANIZATION-SPECIFIC PARAGRAPH]</w:t>
      </w:r>
      <w:r w:rsidRPr="00CB474F">
        <w:rPr>
          <w:sz w:val="20"/>
          <w:szCs w:val="18"/>
        </w:rPr>
        <w:br/>
        <w:t>[Insert one or two paragraphs describing how inconsistent code interpretations, local amendments, or the absence of a practical statewide appeals process affect your members, industry, projects, customers, or communities. Include examples where appropriate and explain how AB 306 would improve outcomes.]</w:t>
      </w:r>
    </w:p>
    <w:p w14:paraId="037E5432" w14:textId="77777777" w:rsidR="00257B98" w:rsidRPr="00CB474F" w:rsidRDefault="00257B98" w:rsidP="00257B98">
      <w:pPr>
        <w:rPr>
          <w:sz w:val="20"/>
          <w:szCs w:val="18"/>
        </w:rPr>
      </w:pPr>
    </w:p>
    <w:p w14:paraId="2070B258" w14:textId="77777777" w:rsidR="00257B98" w:rsidRDefault="00257B98" w:rsidP="00257B98">
      <w:pPr>
        <w:rPr>
          <w:sz w:val="20"/>
          <w:szCs w:val="18"/>
        </w:rPr>
      </w:pPr>
      <w:r w:rsidRPr="00CB474F">
        <w:rPr>
          <w:sz w:val="20"/>
          <w:szCs w:val="18"/>
        </w:rPr>
        <w:t>AB 306 is modeled in part on successful statewide code appeals processes already utilized by agencies such as the Office of the State Fire Marshal and the Division of the State Architect. The bill strikes an appropriate balance by maintaining local control while creating a fair, efficient, and transparent mechanism for addressing issues that extend beyond a single jurisdiction.</w:t>
      </w:r>
    </w:p>
    <w:p w14:paraId="1E1F6FFD" w14:textId="77777777" w:rsidR="00257B98" w:rsidRPr="00CB474F" w:rsidRDefault="00257B98" w:rsidP="00257B98">
      <w:pPr>
        <w:rPr>
          <w:sz w:val="20"/>
          <w:szCs w:val="18"/>
        </w:rPr>
      </w:pPr>
    </w:p>
    <w:p w14:paraId="1E76ABF1" w14:textId="77777777" w:rsidR="00257B98" w:rsidRDefault="00257B98" w:rsidP="00257B98">
      <w:pPr>
        <w:rPr>
          <w:sz w:val="20"/>
          <w:szCs w:val="18"/>
        </w:rPr>
      </w:pPr>
      <w:r w:rsidRPr="00CB474F">
        <w:rPr>
          <w:sz w:val="20"/>
          <w:szCs w:val="18"/>
        </w:rPr>
        <w:t>For these reasons, [ORGANIZATION] respectfully urges your support of AB 306.</w:t>
      </w:r>
    </w:p>
    <w:p w14:paraId="2CDB12B9" w14:textId="77777777" w:rsidR="00257B98" w:rsidRPr="00CB474F" w:rsidRDefault="00257B98" w:rsidP="00257B98">
      <w:pPr>
        <w:rPr>
          <w:sz w:val="20"/>
          <w:szCs w:val="18"/>
        </w:rPr>
      </w:pPr>
    </w:p>
    <w:p w14:paraId="49AF0B73" w14:textId="77777777" w:rsidR="00257B98" w:rsidRPr="00CB474F" w:rsidRDefault="00257B98" w:rsidP="00257B98">
      <w:pPr>
        <w:rPr>
          <w:sz w:val="20"/>
          <w:szCs w:val="18"/>
        </w:rPr>
      </w:pPr>
      <w:r w:rsidRPr="00CB474F">
        <w:rPr>
          <w:sz w:val="20"/>
          <w:szCs w:val="18"/>
        </w:rPr>
        <w:lastRenderedPageBreak/>
        <w:t>Sincerely,</w:t>
      </w:r>
    </w:p>
    <w:p w14:paraId="5B571EE1" w14:textId="77777777" w:rsidR="00257B98" w:rsidRPr="00CB474F" w:rsidRDefault="00257B98" w:rsidP="00257B98">
      <w:pPr>
        <w:rPr>
          <w:sz w:val="20"/>
          <w:szCs w:val="18"/>
        </w:rPr>
      </w:pPr>
      <w:r w:rsidRPr="00CB474F">
        <w:rPr>
          <w:sz w:val="20"/>
          <w:szCs w:val="18"/>
        </w:rPr>
        <w:t>[NAME]</w:t>
      </w:r>
      <w:r w:rsidRPr="00CB474F">
        <w:rPr>
          <w:sz w:val="20"/>
          <w:szCs w:val="18"/>
        </w:rPr>
        <w:br/>
        <w:t>[TITLE]</w:t>
      </w:r>
      <w:r w:rsidRPr="00CB474F">
        <w:rPr>
          <w:sz w:val="20"/>
          <w:szCs w:val="18"/>
        </w:rPr>
        <w:br/>
        <w:t>[ORGANIZATION]</w:t>
      </w:r>
    </w:p>
    <w:p w14:paraId="3938F1CD" w14:textId="77777777" w:rsidR="00257B98" w:rsidRDefault="00257B98"/>
    <w:sectPr w:rsidR="00257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type Light">
    <w:altName w:val="Calibri"/>
    <w:panose1 w:val="00000000000000000000"/>
    <w:charset w:val="00"/>
    <w:family w:val="modern"/>
    <w:notTrueType/>
    <w:pitch w:val="variable"/>
    <w:sig w:usb0="00000007" w:usb1="00000001"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ED7"/>
    <w:multiLevelType w:val="hybridMultilevel"/>
    <w:tmpl w:val="43FED5C2"/>
    <w:lvl w:ilvl="0" w:tplc="9D9CD80E">
      <w:numFmt w:val="bullet"/>
      <w:lvlText w:val="•"/>
      <w:lvlJc w:val="left"/>
      <w:pPr>
        <w:ind w:left="720" w:hanging="360"/>
      </w:pPr>
      <w:rPr>
        <w:rFonts w:ascii="Architype Light" w:eastAsia="Times New Roman" w:hAnsi="Architype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88B"/>
    <w:multiLevelType w:val="hybridMultilevel"/>
    <w:tmpl w:val="D31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246D0"/>
    <w:multiLevelType w:val="hybridMultilevel"/>
    <w:tmpl w:val="C742AF8E"/>
    <w:lvl w:ilvl="0" w:tplc="9D9CD80E">
      <w:numFmt w:val="bullet"/>
      <w:lvlText w:val="•"/>
      <w:lvlJc w:val="left"/>
      <w:pPr>
        <w:ind w:left="1080" w:hanging="360"/>
      </w:pPr>
      <w:rPr>
        <w:rFonts w:ascii="Architype Light" w:eastAsia="Times New Roman" w:hAnsi="Architype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2068062">
    <w:abstractNumId w:val="1"/>
  </w:num>
  <w:num w:numId="2" w16cid:durableId="654841982">
    <w:abstractNumId w:val="0"/>
  </w:num>
  <w:num w:numId="3" w16cid:durableId="107073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98"/>
    <w:rsid w:val="00095543"/>
    <w:rsid w:val="00257B98"/>
    <w:rsid w:val="00934222"/>
    <w:rsid w:val="00B32D0E"/>
    <w:rsid w:val="00E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7061"/>
  <w15:chartTrackingRefBased/>
  <w15:docId w15:val="{1B9EC4F4-6638-4F97-882C-07318C77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98"/>
    <w:pPr>
      <w:spacing w:after="0" w:line="240" w:lineRule="auto"/>
    </w:pPr>
    <w:rPr>
      <w:rFonts w:ascii="Architype Light" w:eastAsia="Times New Roman" w:hAnsi="Architype Light" w:cs="Times New Roman"/>
      <w:kern w:val="0"/>
      <w:sz w:val="22"/>
      <w:szCs w:val="20"/>
      <w14:ligatures w14:val="none"/>
    </w:rPr>
  </w:style>
  <w:style w:type="paragraph" w:styleId="Heading1">
    <w:name w:val="heading 1"/>
    <w:basedOn w:val="Normal"/>
    <w:next w:val="Normal"/>
    <w:link w:val="Heading1Char"/>
    <w:uiPriority w:val="9"/>
    <w:qFormat/>
    <w:rsid w:val="00257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B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B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B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B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B98"/>
    <w:rPr>
      <w:rFonts w:eastAsiaTheme="majorEastAsia" w:cstheme="majorBidi"/>
      <w:color w:val="272727" w:themeColor="text1" w:themeTint="D8"/>
    </w:rPr>
  </w:style>
  <w:style w:type="paragraph" w:styleId="Title">
    <w:name w:val="Title"/>
    <w:basedOn w:val="Normal"/>
    <w:next w:val="Normal"/>
    <w:link w:val="TitleChar"/>
    <w:uiPriority w:val="10"/>
    <w:qFormat/>
    <w:rsid w:val="00257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B98"/>
    <w:pPr>
      <w:spacing w:before="160"/>
      <w:jc w:val="center"/>
    </w:pPr>
    <w:rPr>
      <w:i/>
      <w:iCs/>
      <w:color w:val="404040" w:themeColor="text1" w:themeTint="BF"/>
    </w:rPr>
  </w:style>
  <w:style w:type="character" w:customStyle="1" w:styleId="QuoteChar">
    <w:name w:val="Quote Char"/>
    <w:basedOn w:val="DefaultParagraphFont"/>
    <w:link w:val="Quote"/>
    <w:uiPriority w:val="29"/>
    <w:rsid w:val="00257B98"/>
    <w:rPr>
      <w:i/>
      <w:iCs/>
      <w:color w:val="404040" w:themeColor="text1" w:themeTint="BF"/>
    </w:rPr>
  </w:style>
  <w:style w:type="paragraph" w:styleId="ListParagraph">
    <w:name w:val="List Paragraph"/>
    <w:basedOn w:val="Normal"/>
    <w:uiPriority w:val="34"/>
    <w:qFormat/>
    <w:rsid w:val="00257B98"/>
    <w:pPr>
      <w:ind w:left="720"/>
      <w:contextualSpacing/>
    </w:pPr>
  </w:style>
  <w:style w:type="character" w:styleId="IntenseEmphasis">
    <w:name w:val="Intense Emphasis"/>
    <w:basedOn w:val="DefaultParagraphFont"/>
    <w:uiPriority w:val="21"/>
    <w:qFormat/>
    <w:rsid w:val="00257B98"/>
    <w:rPr>
      <w:i/>
      <w:iCs/>
      <w:color w:val="0F4761" w:themeColor="accent1" w:themeShade="BF"/>
    </w:rPr>
  </w:style>
  <w:style w:type="paragraph" w:styleId="IntenseQuote">
    <w:name w:val="Intense Quote"/>
    <w:basedOn w:val="Normal"/>
    <w:next w:val="Normal"/>
    <w:link w:val="IntenseQuoteChar"/>
    <w:uiPriority w:val="30"/>
    <w:qFormat/>
    <w:rsid w:val="00257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B98"/>
    <w:rPr>
      <w:i/>
      <w:iCs/>
      <w:color w:val="0F4761" w:themeColor="accent1" w:themeShade="BF"/>
    </w:rPr>
  </w:style>
  <w:style w:type="character" w:styleId="IntenseReference">
    <w:name w:val="Intense Reference"/>
    <w:basedOn w:val="DefaultParagraphFont"/>
    <w:uiPriority w:val="32"/>
    <w:qFormat/>
    <w:rsid w:val="00257B98"/>
    <w:rPr>
      <w:b/>
      <w:bCs/>
      <w:smallCaps/>
      <w:color w:val="0F4761" w:themeColor="accent1" w:themeShade="BF"/>
      <w:spacing w:val="5"/>
    </w:rPr>
  </w:style>
  <w:style w:type="paragraph" w:styleId="NoSpacing">
    <w:name w:val="No Spacing"/>
    <w:uiPriority w:val="1"/>
    <w:qFormat/>
    <w:rsid w:val="00257B98"/>
    <w:pPr>
      <w:spacing w:after="0" w:line="240" w:lineRule="auto"/>
    </w:pPr>
    <w:rPr>
      <w:rFonts w:ascii="Architype Light" w:eastAsia="Times New Roman" w:hAnsi="Architype Light"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C9211184E5243AF153ABEE011C3A2" ma:contentTypeVersion="16" ma:contentTypeDescription="Create a new document." ma:contentTypeScope="" ma:versionID="878d170ec7169252a31e5f5933d223df">
  <xsd:schema xmlns:xsd="http://www.w3.org/2001/XMLSchema" xmlns:xs="http://www.w3.org/2001/XMLSchema" xmlns:p="http://schemas.microsoft.com/office/2006/metadata/properties" xmlns:ns3="0f75b5f5-0489-4cd6-a150-a1eb0c543dc9" xmlns:ns4="1a4cb67b-fc87-49be-b63c-9b4fa6df7c04" targetNamespace="http://schemas.microsoft.com/office/2006/metadata/properties" ma:root="true" ma:fieldsID="e10b2fe74dc1f0744abf6bdbdcf7687c" ns3:_="" ns4:_="">
    <xsd:import namespace="0f75b5f5-0489-4cd6-a150-a1eb0c543dc9"/>
    <xsd:import namespace="1a4cb67b-fc87-49be-b63c-9b4fa6df7c0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5b5f5-0489-4cd6-a150-a1eb0c543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cb67b-fc87-49be-b63c-9b4fa6df7c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75b5f5-0489-4cd6-a150-a1eb0c543dc9" xsi:nil="true"/>
  </documentManagement>
</p:properties>
</file>

<file path=customXml/itemProps1.xml><?xml version="1.0" encoding="utf-8"?>
<ds:datastoreItem xmlns:ds="http://schemas.openxmlformats.org/officeDocument/2006/customXml" ds:itemID="{FB3B4779-DAD0-41A1-AB03-FCF3899DE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5b5f5-0489-4cd6-a150-a1eb0c543dc9"/>
    <ds:schemaRef ds:uri="1a4cb67b-fc87-49be-b63c-9b4fa6df7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A7D9-EE51-4C54-8525-2C4C52D1383C}">
  <ds:schemaRefs>
    <ds:schemaRef ds:uri="http://schemas.microsoft.com/sharepoint/v3/contenttype/forms"/>
  </ds:schemaRefs>
</ds:datastoreItem>
</file>

<file path=customXml/itemProps3.xml><?xml version="1.0" encoding="utf-8"?>
<ds:datastoreItem xmlns:ds="http://schemas.openxmlformats.org/officeDocument/2006/customXml" ds:itemID="{27AF93D5-504D-4243-97D0-A28859FF1EC8}">
  <ds:schemaRefs>
    <ds:schemaRef ds:uri="http://schemas.microsoft.com/office/2006/metadata/properties"/>
    <ds:schemaRef ds:uri="http://schemas.microsoft.com/office/infopath/2007/PartnerControls"/>
    <ds:schemaRef ds:uri="0f75b5f5-0489-4cd6-a150-a1eb0c543d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Terrell</dc:creator>
  <cp:keywords/>
  <dc:description/>
  <cp:lastModifiedBy>Scott Terrell</cp:lastModifiedBy>
  <cp:revision>2</cp:revision>
  <dcterms:created xsi:type="dcterms:W3CDTF">2026-06-02T22:41:00Z</dcterms:created>
  <dcterms:modified xsi:type="dcterms:W3CDTF">2026-06-02T22:41:00Z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0x010100395C9211184E5243AF153ABEE011C3A2</vt:lpwstr>
  </property>
</Properties>
</file>